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18" w:rsidRPr="003527AF" w:rsidRDefault="002A0B18" w:rsidP="002A0B18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7AF">
        <w:rPr>
          <w:rFonts w:ascii="Times New Roman" w:hAnsi="Times New Roman" w:cs="Times New Roman"/>
          <w:b/>
          <w:sz w:val="32"/>
          <w:szCs w:val="32"/>
        </w:rPr>
        <w:t>Порядок обжалования решений и</w:t>
      </w:r>
      <w:r w:rsidR="001070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27AF">
        <w:rPr>
          <w:rFonts w:ascii="Times New Roman" w:hAnsi="Times New Roman" w:cs="Times New Roman"/>
          <w:b/>
          <w:sz w:val="32"/>
          <w:szCs w:val="32"/>
        </w:rPr>
        <w:t xml:space="preserve">действий (бездействия) КГБ ПОУ </w:t>
      </w:r>
      <w:r w:rsidR="0010706E">
        <w:rPr>
          <w:rFonts w:ascii="Times New Roman" w:hAnsi="Times New Roman" w:cs="Times New Roman"/>
          <w:b/>
          <w:sz w:val="32"/>
          <w:szCs w:val="32"/>
        </w:rPr>
        <w:t>ХГМК</w:t>
      </w:r>
      <w:r w:rsidRPr="003527AF">
        <w:rPr>
          <w:rFonts w:ascii="Times New Roman" w:hAnsi="Times New Roman" w:cs="Times New Roman"/>
          <w:b/>
          <w:sz w:val="32"/>
          <w:szCs w:val="32"/>
        </w:rPr>
        <w:t xml:space="preserve"> и его работников</w:t>
      </w:r>
    </w:p>
    <w:p w:rsidR="002A0B18" w:rsidRPr="003527AF" w:rsidRDefault="002A0B18" w:rsidP="002A0B18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B18" w:rsidRPr="003527AF" w:rsidRDefault="002A0B18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Заявитель имеет право на обжалование действий (бездействия) и (или) решений, принятых (осуществляемых) в ходе представления государственной услуги,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и его работниками. </w:t>
      </w:r>
    </w:p>
    <w:p w:rsidR="002A0B18" w:rsidRPr="003527AF" w:rsidRDefault="002A0B18" w:rsidP="002A0B18">
      <w:pPr>
        <w:pStyle w:val="Default"/>
        <w:widowControl w:val="0"/>
        <w:ind w:firstLine="709"/>
        <w:jc w:val="both"/>
        <w:rPr>
          <w:b/>
          <w:color w:val="auto"/>
          <w:sz w:val="26"/>
          <w:szCs w:val="26"/>
        </w:rPr>
      </w:pPr>
      <w:r w:rsidRPr="003527AF">
        <w:rPr>
          <w:b/>
          <w:color w:val="auto"/>
          <w:sz w:val="26"/>
          <w:szCs w:val="26"/>
        </w:rPr>
        <w:t xml:space="preserve">Заявитель может обратиться с жалобой в следующих случаях: 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 w:rsidR="002A0B18" w:rsidRPr="003527AF">
        <w:rPr>
          <w:color w:val="auto"/>
          <w:sz w:val="26"/>
          <w:szCs w:val="26"/>
        </w:rPr>
        <w:t xml:space="preserve">нарушения срока регистрации Заявления о предоставлении государственной услуги; 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</w:t>
      </w:r>
      <w:r w:rsidR="002A0B18" w:rsidRPr="003527AF">
        <w:rPr>
          <w:color w:val="auto"/>
          <w:sz w:val="26"/>
          <w:szCs w:val="26"/>
        </w:rPr>
        <w:t xml:space="preserve">нарушения срока предоставления государственной услуги; </w:t>
      </w:r>
    </w:p>
    <w:p w:rsidR="002A0B18" w:rsidRPr="003527AF" w:rsidRDefault="002A0B18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3)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требования у заявителя</w:t>
      </w:r>
      <w:r w:rsidR="0010706E">
        <w:rPr>
          <w:color w:val="auto"/>
          <w:sz w:val="26"/>
          <w:szCs w:val="26"/>
        </w:rPr>
        <w:t xml:space="preserve"> документов или информации либо </w:t>
      </w:r>
      <w:r w:rsidRPr="003527AF">
        <w:rPr>
          <w:color w:val="auto"/>
          <w:sz w:val="26"/>
          <w:szCs w:val="26"/>
        </w:rPr>
        <w:t>осуществления действий, представлен</w:t>
      </w:r>
      <w:r w:rsidR="0010706E">
        <w:rPr>
          <w:color w:val="auto"/>
          <w:sz w:val="26"/>
          <w:szCs w:val="26"/>
        </w:rPr>
        <w:t xml:space="preserve">ие или осуществление которых не </w:t>
      </w:r>
      <w:r w:rsidRPr="003527AF">
        <w:rPr>
          <w:color w:val="auto"/>
          <w:sz w:val="26"/>
          <w:szCs w:val="26"/>
        </w:rPr>
        <w:t xml:space="preserve">предусмотрено законодательством </w:t>
      </w:r>
      <w:r w:rsidR="0010706E">
        <w:rPr>
          <w:color w:val="auto"/>
          <w:sz w:val="26"/>
          <w:szCs w:val="26"/>
        </w:rPr>
        <w:t xml:space="preserve">Российской Федерации и края для </w:t>
      </w:r>
      <w:r w:rsidRPr="003527AF">
        <w:rPr>
          <w:color w:val="auto"/>
          <w:sz w:val="26"/>
          <w:szCs w:val="26"/>
        </w:rPr>
        <w:t xml:space="preserve">предоставления государственной услуги; 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</w:t>
      </w:r>
      <w:r w:rsidR="002A0B18" w:rsidRPr="003527AF">
        <w:rPr>
          <w:color w:val="auto"/>
          <w:sz w:val="26"/>
          <w:szCs w:val="26"/>
        </w:rPr>
        <w:t xml:space="preserve">отказа в приеме документов, предоставление которых предусмотрено законодательством Российской Федерации и края для предоставления государственной услуги, у заявителя; 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</w:t>
      </w:r>
      <w:r w:rsidR="002A0B18" w:rsidRPr="003527AF">
        <w:rPr>
          <w:color w:val="auto"/>
          <w:sz w:val="26"/>
          <w:szCs w:val="26"/>
        </w:rPr>
        <w:t xml:space="preserve">отказа в предоставлении государственной услуги, если основания отказа не предусмотрены законодательством Российской Федерации и края; 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</w:t>
      </w:r>
      <w:r w:rsidR="002A0B18" w:rsidRPr="003527AF">
        <w:rPr>
          <w:color w:val="auto"/>
          <w:sz w:val="26"/>
          <w:szCs w:val="26"/>
        </w:rPr>
        <w:t xml:space="preserve">требования с заявителя при предоставлении государственной услуги платы, не предусмотренной законодательством Российской Федерации и края; </w:t>
      </w:r>
    </w:p>
    <w:p w:rsidR="002A0B18" w:rsidRPr="003527AF" w:rsidRDefault="002A0B18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527AF">
        <w:rPr>
          <w:color w:val="auto"/>
          <w:sz w:val="26"/>
          <w:szCs w:val="26"/>
        </w:rPr>
        <w:t>7)</w:t>
      </w:r>
      <w:r w:rsidRPr="003527AF">
        <w:rPr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отказ КГБ ПОУ </w:t>
      </w:r>
      <w:r w:rsidR="00E917B9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или его работников, работников приемной комиссии,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2A0B18" w:rsidRPr="003527AF" w:rsidRDefault="002A0B18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</w:t>
      </w:r>
      <w:r w:rsidR="002A0B18" w:rsidRPr="003527AF">
        <w:rPr>
          <w:color w:val="auto"/>
          <w:sz w:val="26"/>
          <w:szCs w:val="26"/>
        </w:rPr>
        <w:t>приостановления предоставлен</w:t>
      </w:r>
      <w:r>
        <w:rPr>
          <w:color w:val="auto"/>
          <w:sz w:val="26"/>
          <w:szCs w:val="26"/>
        </w:rPr>
        <w:t xml:space="preserve">ия государственной услуги, если </w:t>
      </w:r>
      <w:r w:rsidR="002A0B18" w:rsidRPr="003527AF">
        <w:rPr>
          <w:color w:val="auto"/>
          <w:sz w:val="26"/>
          <w:szCs w:val="26"/>
        </w:rPr>
        <w:t>основания приостановления не предусмотрены законодательством Российской Федерации и края;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10) </w:t>
      </w:r>
      <w:r w:rsidR="002A0B18" w:rsidRPr="003527AF">
        <w:rPr>
          <w:color w:val="auto"/>
          <w:sz w:val="26"/>
          <w:szCs w:val="26"/>
        </w:rPr>
        <w:t>требования у заявителя при предоставлении государственной услуги документов или информации, отсутствие и (</w:t>
      </w:r>
      <w:r>
        <w:rPr>
          <w:color w:val="auto"/>
          <w:sz w:val="26"/>
          <w:szCs w:val="26"/>
        </w:rPr>
        <w:t xml:space="preserve">или) недостоверность которых не </w:t>
      </w:r>
      <w:r w:rsidR="002A0B18" w:rsidRPr="003527AF">
        <w:rPr>
          <w:color w:val="auto"/>
          <w:sz w:val="26"/>
          <w:szCs w:val="26"/>
        </w:rPr>
        <w:t>указывались при первоначальном отказе в приеме документов, необходимых для предоставления</w:t>
      </w:r>
      <w:r>
        <w:rPr>
          <w:color w:val="auto"/>
          <w:sz w:val="26"/>
          <w:szCs w:val="26"/>
        </w:rPr>
        <w:t xml:space="preserve"> государственной услуги, либо в </w:t>
      </w:r>
      <w:r w:rsidR="002A0B18" w:rsidRPr="003527AF">
        <w:rPr>
          <w:color w:val="auto"/>
          <w:sz w:val="26"/>
          <w:szCs w:val="26"/>
        </w:rPr>
        <w:t xml:space="preserve">предоставлении государственной услуги, за исключением случаев, </w:t>
      </w:r>
      <w:r w:rsidR="002A0B18" w:rsidRPr="003527AF">
        <w:rPr>
          <w:sz w:val="26"/>
          <w:szCs w:val="26"/>
        </w:rPr>
        <w:t xml:space="preserve"> предоставления недостоверных или искаженных сведений, повлекших за собой неправомерное предоставление государственной услуги. В таких случаях заявитель несет ответственность в соответствии с законодательством Российской Федерации.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2A0B18" w:rsidRPr="003527AF">
        <w:rPr>
          <w:b/>
          <w:color w:val="auto"/>
          <w:sz w:val="26"/>
          <w:szCs w:val="26"/>
        </w:rPr>
        <w:t xml:space="preserve">Жалоба должна содержать: 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 w:rsidR="002A0B18" w:rsidRPr="003527AF">
        <w:rPr>
          <w:color w:val="auto"/>
          <w:sz w:val="26"/>
          <w:szCs w:val="26"/>
        </w:rPr>
        <w:t xml:space="preserve">наименование Организации, указание на работника Организации, решения и действия (бездействие) которых обжалуются; 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2) </w:t>
      </w:r>
      <w:r w:rsidR="002A0B18" w:rsidRPr="003527AF">
        <w:rPr>
          <w:color w:val="auto"/>
          <w:sz w:val="26"/>
          <w:szCs w:val="26"/>
        </w:rPr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</w:t>
      </w:r>
      <w:r>
        <w:rPr>
          <w:color w:val="auto"/>
          <w:sz w:val="26"/>
          <w:szCs w:val="26"/>
        </w:rPr>
        <w:t xml:space="preserve">и наличии) и почтовый адрес, по </w:t>
      </w:r>
      <w:r w:rsidR="002A0B18" w:rsidRPr="003527AF">
        <w:rPr>
          <w:color w:val="auto"/>
          <w:sz w:val="26"/>
          <w:szCs w:val="26"/>
        </w:rPr>
        <w:t xml:space="preserve">которым должен быть направлен ответ заявителю; </w:t>
      </w:r>
      <w:proofErr w:type="gramEnd"/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</w:t>
      </w:r>
      <w:r w:rsidR="002A0B18" w:rsidRPr="003527AF">
        <w:rPr>
          <w:color w:val="auto"/>
          <w:sz w:val="26"/>
          <w:szCs w:val="26"/>
        </w:rPr>
        <w:t xml:space="preserve">сведения об обжалуемых решениях и действиях (бездействии) Организации, работника Организации; </w:t>
      </w:r>
    </w:p>
    <w:p w:rsidR="002A0B18" w:rsidRPr="003527AF" w:rsidRDefault="0010706E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</w:t>
      </w:r>
      <w:r w:rsidR="002A0B18" w:rsidRPr="003527AF">
        <w:rPr>
          <w:color w:val="auto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color w:val="auto"/>
          <w:sz w:val="26"/>
          <w:szCs w:val="26"/>
        </w:rPr>
        <w:t xml:space="preserve">и </w:t>
      </w:r>
      <w:r w:rsidR="002A0B18" w:rsidRPr="003527AF">
        <w:rPr>
          <w:color w:val="auto"/>
          <w:sz w:val="26"/>
          <w:szCs w:val="26"/>
        </w:rPr>
        <w:lastRenderedPageBreak/>
        <w:t xml:space="preserve">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</w:t>
      </w:r>
    </w:p>
    <w:p w:rsidR="002A0B18" w:rsidRPr="003527AF" w:rsidRDefault="002A0B18" w:rsidP="002A0B1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прост</w:t>
      </w:r>
      <w:r w:rsidR="0010706E">
        <w:rPr>
          <w:color w:val="auto"/>
          <w:sz w:val="26"/>
          <w:szCs w:val="26"/>
        </w:rPr>
        <w:t xml:space="preserve">ой ЭП уполномоченного лица. При </w:t>
      </w:r>
      <w:r w:rsidRPr="003527AF">
        <w:rPr>
          <w:color w:val="auto"/>
          <w:sz w:val="26"/>
          <w:szCs w:val="26"/>
        </w:rPr>
        <w:t xml:space="preserve">этом документ, удостоверяющий личность, не требуется.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b/>
          <w:color w:val="auto"/>
          <w:sz w:val="26"/>
          <w:szCs w:val="26"/>
        </w:rPr>
      </w:pPr>
      <w:r w:rsidRPr="003527AF">
        <w:rPr>
          <w:b/>
          <w:color w:val="auto"/>
          <w:sz w:val="26"/>
          <w:szCs w:val="26"/>
        </w:rPr>
        <w:t xml:space="preserve">По результатам рассмотрения жалобы КГБ ПОУ </w:t>
      </w:r>
      <w:r w:rsidR="0010706E">
        <w:rPr>
          <w:b/>
          <w:color w:val="auto"/>
          <w:sz w:val="26"/>
          <w:szCs w:val="26"/>
        </w:rPr>
        <w:t>ХГМК</w:t>
      </w:r>
      <w:r w:rsidRPr="003527AF">
        <w:rPr>
          <w:b/>
          <w:color w:val="auto"/>
          <w:sz w:val="26"/>
          <w:szCs w:val="26"/>
        </w:rPr>
        <w:t xml:space="preserve"> принимает одно из следующих решений: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жалоба удовлетворяется, в том числе в форме отмены принятого решения, возврата заявителю денежных средств, взимание которых не предусмотрено законодательством Российской Федерации;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в удовлетворении жалобы отказывают по основаниям, предусмотренным административным регламентом.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При удовлетворении жалобы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</w:t>
      </w:r>
      <w:r w:rsidR="0010706E">
        <w:rPr>
          <w:color w:val="auto"/>
          <w:sz w:val="26"/>
          <w:szCs w:val="26"/>
        </w:rPr>
        <w:t xml:space="preserve">принимает исчерпывающие меры по </w:t>
      </w:r>
      <w:r w:rsidRPr="003527AF">
        <w:rPr>
          <w:color w:val="auto"/>
          <w:sz w:val="26"/>
          <w:szCs w:val="26"/>
        </w:rPr>
        <w:t>устранению выявленных нарушений, в том числе по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выдаче заявителю результата государственной услуги, не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позднее пяти рабочих дней со дня принятия решения, если иное не установлено законодательством Российской Федерации.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Не позднее дня, следующего за днем принятия решения заявителю в электронной форме направляется мотивированный ответ о результатах рассмотрения жалобы.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Ответ по результатам рассмотрения жалобы подписывается Председателем приемной комиссии.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В случае признания жалобы подлежащей удовлетворению в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ответе заявителю дается информация о действиях, осуществляемых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>, в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527AF">
        <w:rPr>
          <w:color w:val="auto"/>
          <w:sz w:val="26"/>
          <w:szCs w:val="26"/>
        </w:rPr>
        <w:t>неудобства</w:t>
      </w:r>
      <w:proofErr w:type="gramEnd"/>
      <w:r w:rsidRPr="003527AF">
        <w:rPr>
          <w:color w:val="auto"/>
          <w:sz w:val="26"/>
          <w:szCs w:val="26"/>
        </w:rPr>
        <w:t xml:space="preserve"> и указывается информация о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дальнейших действиях, которые необходимо совершить заявителю в целях получения государственной услуги.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В случае признания жалобы, не подлежащей удовлетворению, в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b/>
          <w:color w:val="auto"/>
          <w:sz w:val="26"/>
          <w:szCs w:val="26"/>
        </w:rPr>
      </w:pPr>
      <w:r w:rsidRPr="003527AF">
        <w:rPr>
          <w:b/>
          <w:color w:val="auto"/>
          <w:sz w:val="26"/>
          <w:szCs w:val="26"/>
        </w:rPr>
        <w:t xml:space="preserve">В ответе по результатам рассмотрения жалобы указываются: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527AF">
        <w:rPr>
          <w:color w:val="auto"/>
          <w:sz w:val="26"/>
          <w:szCs w:val="26"/>
        </w:rPr>
        <w:t>1)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наименование Организации, рассмотревшей жалобу, должность, фамилия, имя, отчество (при наличии) должностного лица и (или) работника, принявшего решение по жалобе; </w:t>
      </w:r>
      <w:proofErr w:type="gramEnd"/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2)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номер, дата, место принятия решения, включая сведения о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должностном лице, работнике, решение или действие (бездействие) которого обжалуется;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3)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фамилия, имя, отчество (при наличии) или наименование заявителя;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4)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основания для принятия решения по жалобе;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5)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принятое по жалобе решение;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6)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услуги, а также информация, о дальнейших действиях, которые необходимо совершить заявителю в целях получения государственной услуги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lastRenderedPageBreak/>
        <w:t>7)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информация о порядке обжалования принятого по жалобе решения.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b/>
          <w:color w:val="auto"/>
          <w:sz w:val="26"/>
          <w:szCs w:val="26"/>
        </w:rPr>
      </w:pPr>
      <w:r w:rsidRPr="003527AF">
        <w:rPr>
          <w:b/>
          <w:color w:val="auto"/>
          <w:sz w:val="26"/>
          <w:szCs w:val="26"/>
        </w:rPr>
        <w:t xml:space="preserve">Организация отказывает в удовлетворении жалобы в следующих случаях: </w:t>
      </w:r>
    </w:p>
    <w:p w:rsidR="00E43B67" w:rsidRPr="003527AF" w:rsidRDefault="00E43B67" w:rsidP="0010706E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E43B67" w:rsidRPr="003527AF" w:rsidRDefault="00E43B67" w:rsidP="0010706E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подачи жалобы лицом, полномочия которого не подтверждены в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порядке, установленном законодательством Российской Федерации; </w:t>
      </w:r>
    </w:p>
    <w:p w:rsidR="00E43B67" w:rsidRPr="003527AF" w:rsidRDefault="00E43B67" w:rsidP="0010706E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наличия решения по жалобе, принятого ранее в соответствии с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требованиями законодательства Российской Федерации в отношении того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же заявителя и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по тому же предмету жалобы.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b/>
          <w:color w:val="auto"/>
          <w:sz w:val="26"/>
          <w:szCs w:val="26"/>
        </w:rPr>
      </w:pPr>
      <w:r w:rsidRPr="003527AF">
        <w:rPr>
          <w:b/>
          <w:color w:val="auto"/>
          <w:sz w:val="26"/>
          <w:szCs w:val="26"/>
        </w:rPr>
        <w:t xml:space="preserve">Организация вправе оставить жалобу без ответа в следующих случаях: </w:t>
      </w:r>
    </w:p>
    <w:p w:rsidR="00E43B67" w:rsidRPr="003527AF" w:rsidRDefault="00E43B67" w:rsidP="0010706E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E43B67" w:rsidRPr="003527AF" w:rsidRDefault="00E43B67" w:rsidP="0010706E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Организация сообщает заявителю об оставлении жалобы без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ответа в течение трех рабочих дней со дня регистрации жалобы.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Заявитель вправе обжаловать принятое по жалобе решение в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судебном порядке в соответствии с законодательством Российской Федерации.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pacing w:val="-4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Российской Федерации, или преступления должностное лицо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или работник, уполномоченный на рассмотрение жалоб, незамедлительно направляет имеющиеся материалы в органы прокуратуры.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Организация обеспечивает: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информирование заявителей о порядке обжалования решений и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действий (бездействия)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и ее работников посредством размещения информации в ЕПГУ;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консультирование заявителей о порядке обжалования решений и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действий (бездействия)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и ее </w:t>
      </w:r>
      <w:proofErr w:type="gramStart"/>
      <w:r w:rsidRPr="003527AF">
        <w:rPr>
          <w:color w:val="auto"/>
          <w:sz w:val="26"/>
          <w:szCs w:val="26"/>
        </w:rPr>
        <w:t>работников</w:t>
      </w:r>
      <w:proofErr w:type="gramEnd"/>
      <w:r w:rsidRPr="003527AF">
        <w:rPr>
          <w:color w:val="auto"/>
          <w:sz w:val="26"/>
          <w:szCs w:val="26"/>
        </w:rPr>
        <w:t xml:space="preserve"> в том числе по телефону, электронной почте, при личном приеме.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527AF">
        <w:rPr>
          <w:color w:val="auto"/>
          <w:spacing w:val="-6"/>
          <w:sz w:val="26"/>
          <w:szCs w:val="26"/>
        </w:rPr>
        <w:t>Сведения о содержании жалоб подлежат размещению в</w:t>
      </w:r>
      <w:r w:rsidR="0010706E">
        <w:rPr>
          <w:color w:val="auto"/>
          <w:spacing w:val="-6"/>
          <w:sz w:val="26"/>
          <w:szCs w:val="26"/>
        </w:rPr>
        <w:t xml:space="preserve"> </w:t>
      </w:r>
      <w:r w:rsidRPr="003527AF">
        <w:rPr>
          <w:color w:val="auto"/>
          <w:spacing w:val="-6"/>
          <w:sz w:val="26"/>
          <w:szCs w:val="26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услуг, в</w:t>
      </w:r>
      <w:r w:rsidR="0010706E">
        <w:rPr>
          <w:color w:val="auto"/>
          <w:spacing w:val="-6"/>
          <w:sz w:val="26"/>
          <w:szCs w:val="26"/>
        </w:rPr>
        <w:t xml:space="preserve"> </w:t>
      </w:r>
      <w:r w:rsidRPr="003527AF">
        <w:rPr>
          <w:color w:val="auto"/>
          <w:spacing w:val="-6"/>
          <w:sz w:val="26"/>
          <w:szCs w:val="26"/>
        </w:rPr>
        <w:t>соответствии с</w:t>
      </w:r>
      <w:r w:rsidR="0010706E">
        <w:rPr>
          <w:color w:val="auto"/>
          <w:spacing w:val="-6"/>
          <w:sz w:val="26"/>
          <w:szCs w:val="26"/>
        </w:rPr>
        <w:t xml:space="preserve"> </w:t>
      </w:r>
      <w:r w:rsidRPr="003527AF">
        <w:rPr>
          <w:color w:val="auto"/>
          <w:spacing w:val="-6"/>
          <w:sz w:val="26"/>
          <w:szCs w:val="26"/>
        </w:rPr>
        <w:t>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r w:rsidR="0010706E">
        <w:rPr>
          <w:color w:val="auto"/>
          <w:spacing w:val="-6"/>
          <w:sz w:val="26"/>
          <w:szCs w:val="26"/>
        </w:rPr>
        <w:t xml:space="preserve"> </w:t>
      </w:r>
      <w:r w:rsidRPr="003527AF">
        <w:rPr>
          <w:color w:val="auto"/>
          <w:spacing w:val="-6"/>
          <w:sz w:val="26"/>
          <w:szCs w:val="26"/>
        </w:rPr>
        <w:t>ноября 2012</w:t>
      </w:r>
      <w:proofErr w:type="gramEnd"/>
      <w:r w:rsidRPr="003527AF">
        <w:rPr>
          <w:color w:val="auto"/>
          <w:spacing w:val="-6"/>
          <w:sz w:val="26"/>
          <w:szCs w:val="26"/>
        </w:rPr>
        <w:t xml:space="preserve"> г. №</w:t>
      </w:r>
      <w:r w:rsidR="0010706E">
        <w:rPr>
          <w:color w:val="auto"/>
          <w:spacing w:val="-6"/>
          <w:sz w:val="26"/>
          <w:szCs w:val="26"/>
        </w:rPr>
        <w:t xml:space="preserve"> </w:t>
      </w:r>
      <w:r w:rsidRPr="003527AF">
        <w:rPr>
          <w:color w:val="auto"/>
          <w:spacing w:val="-6"/>
          <w:sz w:val="26"/>
          <w:szCs w:val="26"/>
        </w:rPr>
        <w:t>1198 "О федеральной</w:t>
      </w:r>
      <w:r w:rsidRPr="003527AF">
        <w:rPr>
          <w:color w:val="auto"/>
          <w:sz w:val="26"/>
          <w:szCs w:val="26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 муниципальных услуг". </w:t>
      </w:r>
    </w:p>
    <w:p w:rsidR="003527AF" w:rsidRDefault="003527AF" w:rsidP="00E43B67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z w:val="32"/>
          <w:szCs w:val="32"/>
        </w:rPr>
      </w:pPr>
    </w:p>
    <w:p w:rsidR="00E43B67" w:rsidRPr="003527AF" w:rsidRDefault="00E43B67" w:rsidP="00E43B67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3527AF">
        <w:rPr>
          <w:b/>
          <w:color w:val="auto"/>
          <w:sz w:val="32"/>
          <w:szCs w:val="32"/>
        </w:rPr>
        <w:lastRenderedPageBreak/>
        <w:t>Органы государственной власти, организации и уполномоченные на</w:t>
      </w:r>
      <w:r w:rsidR="0010706E">
        <w:rPr>
          <w:b/>
          <w:color w:val="auto"/>
          <w:sz w:val="32"/>
          <w:szCs w:val="32"/>
        </w:rPr>
        <w:t xml:space="preserve"> </w:t>
      </w:r>
      <w:r w:rsidRPr="003527AF">
        <w:rPr>
          <w:b/>
          <w:color w:val="auto"/>
          <w:sz w:val="32"/>
          <w:szCs w:val="32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Жалоба подается в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>, предоставившего государственную услугу, порядок предоставления которой был нарушен вследствие решений и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действий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и ее работников, и рассматривается учреждением в порядке, установленном законодательством Российской Федерации.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pacing w:val="-4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Жалобу на решения и действия (бездействие)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можно подать в Министерство.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Прием жалоб осуществляется Организацией 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Жалоба подлежит регистрации не позднее следующего рабочего дня со дня ее поступления.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pacing w:val="-4"/>
          <w:sz w:val="26"/>
          <w:szCs w:val="26"/>
        </w:rPr>
      </w:pPr>
      <w:r w:rsidRPr="003527AF">
        <w:rPr>
          <w:color w:val="auto"/>
          <w:sz w:val="26"/>
          <w:szCs w:val="26"/>
        </w:rPr>
        <w:t>Жалоба рассматривается в течение пятнадцати рабочих дней со дня ее регистрации.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 xml:space="preserve">В случае обжалования отказа КГБ ПОУ </w:t>
      </w:r>
      <w:r w:rsidR="0010706E">
        <w:rPr>
          <w:color w:val="auto"/>
          <w:sz w:val="26"/>
          <w:szCs w:val="26"/>
        </w:rPr>
        <w:t>ХГМК</w:t>
      </w:r>
      <w:r w:rsidRPr="003527AF">
        <w:rPr>
          <w:color w:val="auto"/>
          <w:sz w:val="26"/>
          <w:szCs w:val="26"/>
        </w:rPr>
        <w:t xml:space="preserve"> и ее работника в приеме документов у заявителя либо в исправлении допущенных опечаток и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pacing w:val="-4"/>
          <w:sz w:val="26"/>
          <w:szCs w:val="26"/>
        </w:rPr>
      </w:pPr>
      <w:r w:rsidRPr="003527AF">
        <w:rPr>
          <w:color w:val="auto"/>
          <w:sz w:val="26"/>
          <w:szCs w:val="26"/>
        </w:rPr>
        <w:t>В случае если жалоба подана заявителем в Организацию, в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компетенцию которой не входит принятие решения по жалобе, в течение трех рабочих дней со дня регистрации такой жалобы она направляется в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Министерство, о чем в письменной форме информируется заявитель. При этом срок рассмотрения жалобы исчисляется со дня регистрации жалобы в Министерстве.</w:t>
      </w:r>
    </w:p>
    <w:p w:rsidR="00E43B67" w:rsidRPr="003527AF" w:rsidRDefault="00E43B67" w:rsidP="00E43B67">
      <w:pPr>
        <w:pStyle w:val="Default"/>
        <w:widowControl w:val="0"/>
        <w:spacing w:before="120" w:after="12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Способы информирования заявителей о порядке подачи и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рассмотрения жалобы, в том числе с использованием ЕПГУ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Заявители информируются о порядке подачи и рассмотрении жалобы, в том числе с использованием ЕПГУ способами, предусмотренными административн</w:t>
      </w:r>
      <w:r w:rsidR="009460DD" w:rsidRPr="003527AF">
        <w:rPr>
          <w:color w:val="auto"/>
          <w:sz w:val="26"/>
          <w:szCs w:val="26"/>
        </w:rPr>
        <w:t>ым</w:t>
      </w:r>
      <w:r w:rsidRPr="003527AF">
        <w:rPr>
          <w:color w:val="auto"/>
          <w:sz w:val="26"/>
          <w:szCs w:val="26"/>
        </w:rPr>
        <w:t xml:space="preserve"> регламент</w:t>
      </w:r>
      <w:r w:rsidR="009460DD" w:rsidRPr="003527AF">
        <w:rPr>
          <w:color w:val="auto"/>
          <w:sz w:val="26"/>
          <w:szCs w:val="26"/>
        </w:rPr>
        <w:t>ом</w:t>
      </w:r>
      <w:r w:rsidRPr="003527AF">
        <w:rPr>
          <w:color w:val="auto"/>
          <w:sz w:val="26"/>
          <w:szCs w:val="26"/>
        </w:rPr>
        <w:t xml:space="preserve">. </w:t>
      </w:r>
    </w:p>
    <w:p w:rsidR="00E43B67" w:rsidRPr="003527AF" w:rsidRDefault="00E43B67" w:rsidP="00E43B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527AF">
        <w:rPr>
          <w:color w:val="auto"/>
          <w:sz w:val="26"/>
          <w:szCs w:val="26"/>
        </w:rPr>
        <w:t>Досудебный (внесудебный) порядок обжалования действий (бездействия) и (или) решений, принятых в ходе представления государственной услуги, осуществляется с соблюдением требований Федерального закона от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27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>июля</w:t>
      </w:r>
      <w:r w:rsidR="0010706E">
        <w:rPr>
          <w:color w:val="auto"/>
          <w:sz w:val="26"/>
          <w:szCs w:val="26"/>
        </w:rPr>
        <w:t xml:space="preserve"> </w:t>
      </w:r>
      <w:r w:rsidRPr="003527AF">
        <w:rPr>
          <w:color w:val="auto"/>
          <w:sz w:val="26"/>
          <w:szCs w:val="26"/>
        </w:rPr>
        <w:t xml:space="preserve">2010 г. № 210-ФЗ "Об организации предоставления государственных и муниципальных услуг" в порядке, установленном законодательством Российской Федерации и субъекта Российской Федерации". </w:t>
      </w:r>
    </w:p>
    <w:p w:rsidR="002A191F" w:rsidRPr="003527AF" w:rsidRDefault="002A191F" w:rsidP="002A0B18">
      <w:pPr>
        <w:rPr>
          <w:sz w:val="26"/>
          <w:szCs w:val="26"/>
        </w:rPr>
      </w:pPr>
    </w:p>
    <w:sectPr w:rsidR="002A191F" w:rsidRPr="0035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5E4988"/>
    <w:multiLevelType w:val="hybridMultilevel"/>
    <w:tmpl w:val="E4DEC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E"/>
    <w:rsid w:val="0010706E"/>
    <w:rsid w:val="002A0B18"/>
    <w:rsid w:val="002A191F"/>
    <w:rsid w:val="003214EE"/>
    <w:rsid w:val="003527AF"/>
    <w:rsid w:val="009460DD"/>
    <w:rsid w:val="00990119"/>
    <w:rsid w:val="0099378B"/>
    <w:rsid w:val="00C60C85"/>
    <w:rsid w:val="00D050BD"/>
    <w:rsid w:val="00E43B67"/>
    <w:rsid w:val="00E917B9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A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Владелец</cp:lastModifiedBy>
  <cp:revision>3</cp:revision>
  <cp:lastPrinted>2022-06-28T00:25:00Z</cp:lastPrinted>
  <dcterms:created xsi:type="dcterms:W3CDTF">2023-06-29T06:56:00Z</dcterms:created>
  <dcterms:modified xsi:type="dcterms:W3CDTF">2024-02-28T02:50:00Z</dcterms:modified>
</cp:coreProperties>
</file>